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62DFB513" w:rsidR="002B5156" w:rsidRPr="006B37E4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6B37E4">
        <w:rPr>
          <w:rFonts w:asciiTheme="minorHAnsi" w:hAnsiTheme="minorHAnsi" w:cstheme="minorHAnsi"/>
          <w:b/>
          <w:bCs/>
          <w:sz w:val="20"/>
          <w:szCs w:val="20"/>
        </w:rPr>
        <w:t>GraviXlaser s.r.o. ; Panenky 367/22, Praha, 19016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6B37E4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469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radek.cerveny@gravixlaser.cz</cp:lastModifiedBy>
  <cp:revision>2</cp:revision>
  <dcterms:created xsi:type="dcterms:W3CDTF">2022-11-16T16:07:00Z</dcterms:created>
  <dcterms:modified xsi:type="dcterms:W3CDTF">2022-12-14T18:09:00Z</dcterms:modified>
</cp:coreProperties>
</file>